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Älvsbyn kommunfullmäktige</w:t>
      </w:r>
    </w:p>
    <w:p>
      <w:pPr>
        <w:pStyle w:val="Heading1"/>
      </w:pPr>
      <w:r>
        <w:t xml:space="preserve">Införa språkkrav och arbetslinje i integrationsarbetet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Älvsbyn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Sysselsättningsgraden bland utrikes födda i Älvsbyn är lägre än genomsnittet. Språk och arbete är nycklar till integration enligt Arbetsförmedlingen.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Älvsbyn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Älvsbyns kommunfullmäktige beslutar att införa krav på svenskkunskaper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SFI-undervisning kopplas till praktikplatser hos lokala företag.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integrationskoordinator tillsätts under 2026.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sysselsättningsstatistik för utrikes födda redovisas årligen.</w:t>
      </w:r>
    </w:p>
    <w:p>
      <w:pPr>
        <w:spacing w:before="360"/>
      </w:pPr>
    </w:p>
    <w:p>
      <w:r>
        <w:t xml:space="preserve">Älvsbyn,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Älvsbyn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2026-06-06T01:48:34.019Z</dcterms:created>
  <dcterms:modified xsi:type="dcterms:W3CDTF">2026-06-06T01:48:34.019Z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